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2B" w:rsidRPr="00FB2E90" w:rsidRDefault="004B1B2B" w:rsidP="007D3CBD">
      <w:pPr>
        <w:shd w:val="clear" w:color="auto" w:fill="FEFEFE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3F7" w:rsidTr="000963F7">
        <w:tc>
          <w:tcPr>
            <w:tcW w:w="4785" w:type="dxa"/>
          </w:tcPr>
          <w:p w:rsidR="000963F7" w:rsidRPr="008334CC" w:rsidRDefault="000963F7" w:rsidP="0009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0963F7" w:rsidRDefault="000963F7" w:rsidP="0009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963F7" w:rsidRPr="008334CC" w:rsidRDefault="000963F7" w:rsidP="0009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0963F7" w:rsidRDefault="000963F7" w:rsidP="0009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63F7" w:rsidTr="000963F7">
        <w:tc>
          <w:tcPr>
            <w:tcW w:w="4785" w:type="dxa"/>
          </w:tcPr>
          <w:p w:rsidR="000963F7" w:rsidRPr="008334CC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Института Геологии</w:t>
            </w:r>
          </w:p>
          <w:p w:rsidR="000963F7" w:rsidRPr="008334CC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Минеральных Ресурсов МГРИ-РГГРУ,</w:t>
            </w:r>
          </w:p>
          <w:p w:rsidR="000963F7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заведующий кафедрой ГМПИ </w:t>
            </w:r>
          </w:p>
          <w:p w:rsidR="000963F7" w:rsidRPr="008334CC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МГРИ-РГГРУ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профессор </w:t>
            </w:r>
          </w:p>
          <w:p w:rsidR="000963F7" w:rsidRPr="008334CC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963F7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руководитель Школьного факультета,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заведующего кафедр</w:t>
            </w:r>
            <w:r w:rsidR="0032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ГМПИ МГРИ-РГГРУ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963F7" w:rsidRPr="008334CC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</w:t>
            </w:r>
          </w:p>
          <w:p w:rsidR="000963F7" w:rsidRPr="008334CC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63F7" w:rsidTr="000963F7">
        <w:tc>
          <w:tcPr>
            <w:tcW w:w="4785" w:type="dxa"/>
          </w:tcPr>
          <w:p w:rsidR="000963F7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__________2014г.</w:t>
            </w:r>
          </w:p>
        </w:tc>
        <w:tc>
          <w:tcPr>
            <w:tcW w:w="4786" w:type="dxa"/>
          </w:tcPr>
          <w:p w:rsidR="000963F7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__________2014г</w:t>
            </w:r>
          </w:p>
        </w:tc>
      </w:tr>
      <w:tr w:rsidR="000963F7" w:rsidTr="000963F7">
        <w:tc>
          <w:tcPr>
            <w:tcW w:w="4785" w:type="dxa"/>
          </w:tcPr>
          <w:p w:rsidR="000963F7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3F7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___________Верчеба А.А</w:t>
            </w:r>
          </w:p>
        </w:tc>
        <w:tc>
          <w:tcPr>
            <w:tcW w:w="4786" w:type="dxa"/>
          </w:tcPr>
          <w:p w:rsidR="000963F7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63F7" w:rsidRDefault="000963F7" w:rsidP="000963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__________Игнатов П.А.</w:t>
            </w:r>
          </w:p>
        </w:tc>
      </w:tr>
    </w:tbl>
    <w:p w:rsidR="004B1B2B" w:rsidRPr="00FB2E90" w:rsidRDefault="004B1B2B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B2B" w:rsidRPr="00FB2E90" w:rsidRDefault="004B1B2B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FFA" w:rsidRPr="00FB2E90" w:rsidRDefault="00DA4FFA" w:rsidP="00DA4FFA">
      <w:pPr>
        <w:shd w:val="clear" w:color="auto" w:fill="FEFEFE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E58" w:rsidRPr="00FB2E90" w:rsidRDefault="00C92E58" w:rsidP="00DA4FFA">
      <w:pPr>
        <w:shd w:val="clear" w:color="auto" w:fill="FEFEFE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FFA" w:rsidRDefault="00DA4FFA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9" w:rsidRDefault="00F93A19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9" w:rsidRDefault="00F93A19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9" w:rsidRDefault="00F93A19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9" w:rsidRDefault="00F93A19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9" w:rsidRDefault="00F93A19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9" w:rsidRDefault="00F93A19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9" w:rsidRDefault="00F93A19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9" w:rsidRDefault="00F93A19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A19" w:rsidRPr="00FB2E90" w:rsidRDefault="00F93A19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5D6" w:rsidRPr="000963F7" w:rsidRDefault="005C35D6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6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DA4FFA" w:rsidRPr="00096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ОЛОЖЕНИ</w:t>
      </w:r>
      <w:r w:rsidR="003E37E3" w:rsidRPr="00096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DA4FFA" w:rsidRPr="000963F7" w:rsidRDefault="005C35D6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конкурсе</w:t>
      </w:r>
      <w:r w:rsidR="00DA4FFA" w:rsidRPr="00096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4FFA" w:rsidRPr="00096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«Открытый геологический Конкурс </w:t>
      </w:r>
      <w:r w:rsidR="00822933" w:rsidRPr="00096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DA4FFA" w:rsidRPr="00096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геологии, истории и культуре Крыма»</w:t>
      </w:r>
      <w:r w:rsidRPr="00096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4FFA" w:rsidRPr="000963F7" w:rsidRDefault="00DA4FFA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FFA" w:rsidRPr="00FB2E90" w:rsidRDefault="00DA4FFA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E90" w:rsidRDefault="00FB2E90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E90" w:rsidRDefault="00FB2E90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E90" w:rsidRDefault="00FB2E90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E90" w:rsidRPr="00FB2E90" w:rsidRDefault="00FB2E90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FFA" w:rsidRPr="00FB2E90" w:rsidRDefault="00DA4FFA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E58" w:rsidRDefault="00C92E58" w:rsidP="008334CC">
      <w:pPr>
        <w:shd w:val="clear" w:color="auto" w:fill="FEFEFE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4CC" w:rsidRDefault="008334CC" w:rsidP="008334CC">
      <w:pPr>
        <w:shd w:val="clear" w:color="auto" w:fill="FEFEFE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4CC" w:rsidRDefault="008334CC" w:rsidP="008334CC">
      <w:pPr>
        <w:shd w:val="clear" w:color="auto" w:fill="FEFEFE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4CC" w:rsidRDefault="008334CC" w:rsidP="008334CC">
      <w:pPr>
        <w:shd w:val="clear" w:color="auto" w:fill="FEFEFE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4CC" w:rsidRPr="00FB2E90" w:rsidRDefault="008334CC" w:rsidP="008334CC">
      <w:pPr>
        <w:shd w:val="clear" w:color="auto" w:fill="FEFEFE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3F7" w:rsidRDefault="000963F7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3F7" w:rsidRDefault="000963F7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3F7" w:rsidRDefault="000963F7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3F7" w:rsidRPr="00FB2E90" w:rsidRDefault="000963F7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E58" w:rsidRPr="00FB2E90" w:rsidRDefault="00C92E58" w:rsidP="00DA4FFA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C42" w:rsidRPr="00C11FAD" w:rsidRDefault="00DA4FFA" w:rsidP="00F93A1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201</w:t>
      </w:r>
      <w:r w:rsidR="00B4759B" w:rsidRPr="00FB2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DA4FFA" w:rsidRPr="00574167" w:rsidRDefault="00A44615" w:rsidP="008C1747">
      <w:pPr>
        <w:pStyle w:val="ac"/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574167" w:rsidRDefault="00574167" w:rsidP="00574167">
      <w:pPr>
        <w:shd w:val="clear" w:color="auto" w:fill="FEFEFE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67" w:rsidRDefault="00327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«Открытый геологический Конкурс по геологии, истории и культуре Крыма» (далее-Конкурс) 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рамках</w:t>
      </w:r>
      <w:r w:rsidR="00B228BE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опережающей профориентации МГРИ –</w:t>
      </w:r>
      <w:r w:rsidR="007C27FA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8BE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РГГРУ</w:t>
      </w:r>
      <w:r w:rsidR="00E01DE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63F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747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охватывает </w:t>
      </w:r>
      <w:r w:rsidR="00804A2C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об истории, культурном наследии и геологии Крыма.</w:t>
      </w:r>
      <w:r w:rsidR="00CB231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3F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A2C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29E7" w:rsidRPr="00C11FAD" w:rsidRDefault="00804A2C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29E7" w:rsidRPr="00574167" w:rsidRDefault="00230CDE" w:rsidP="008C1747">
      <w:pPr>
        <w:pStyle w:val="ac"/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CF3D14" w:rsidRPr="00C11FAD" w:rsidRDefault="00CF3D14" w:rsidP="00574167">
      <w:pPr>
        <w:pStyle w:val="ac"/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80" w:rsidRPr="00C11FAD" w:rsidRDefault="00230CDE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Конкурса является </w:t>
      </w:r>
      <w:r w:rsidR="005A1C8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опережающая профориентация и выявление учащихся, ориентированных на получение гор</w:t>
      </w:r>
      <w:r w:rsidR="00735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но-геологических специальностей.</w:t>
      </w:r>
    </w:p>
    <w:p w:rsidR="00230CDE" w:rsidRPr="00C11FAD" w:rsidRDefault="00230CDE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Конкурса являются: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C80" w:rsidRPr="00C11FAD" w:rsidRDefault="00230CDE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детей к творческой и исследовательской деятельности;</w:t>
      </w:r>
      <w:r w:rsidR="005A1C8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167" w:rsidRDefault="005A1C80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интереса школьников к изучению истории, культурного наследия и геологии Крыма</w:t>
      </w:r>
      <w:r w:rsidR="00574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0CDE" w:rsidRPr="00C11FAD" w:rsidRDefault="0057416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574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 геологии среди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1C80" w:rsidRDefault="005A1C80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41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4167" w:rsidRPr="00574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творческого интеллектуального досуга и получение дополнительного образования школьниками в области естествознания</w:t>
      </w:r>
      <w:r w:rsidR="00574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0CDE" w:rsidRPr="00C11FAD" w:rsidRDefault="00574167" w:rsidP="00272F7E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4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9E7" w:rsidRPr="00C11FAD" w:rsidRDefault="00BF29E7" w:rsidP="009241A8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29E7" w:rsidRPr="00574167" w:rsidRDefault="00A44615" w:rsidP="008C1747">
      <w:pPr>
        <w:pStyle w:val="ac"/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и руководство Конкурса</w:t>
      </w:r>
      <w:r w:rsidR="00BF29E7" w:rsidRPr="00574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D14" w:rsidRPr="00C11FAD" w:rsidRDefault="00CF3D14" w:rsidP="00574167">
      <w:pPr>
        <w:pStyle w:val="ac"/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E7" w:rsidRPr="00C11FAD" w:rsidRDefault="003349AD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организуется Российск</w:t>
      </w:r>
      <w:r w:rsidR="00B37A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B37A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Геологоразведочн</w:t>
      </w:r>
      <w:r w:rsidR="00B37A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B37A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A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Серго Орджоникидзе 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(МГРИ-РГГРУ)</w:t>
      </w:r>
      <w:r w:rsidR="00B37A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МГРИ-РГГРУ) на базе Школьного факультета Российского Государственного Геологоразведочного Университета имени Серго Орджоникидзе (МГРИ-РГГРУ) (далее ШФ МГРИ-РГГРУ)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и проведения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следующие организационные структуры</w:t>
      </w:r>
      <w:r w:rsidR="00EA65E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Организационный комитет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группа Организационного комитета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0CDE" w:rsidRPr="00C11FAD" w:rsidRDefault="00230CDE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Штаб Конкурса;</w:t>
      </w:r>
    </w:p>
    <w:p w:rsidR="001A1C47" w:rsidRPr="00C11FAD" w:rsidRDefault="001A1C4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комиссия;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Судейская коллегия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0D55" w:rsidRPr="00C11FAD" w:rsidRDefault="00AC0D55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Апелляционная комиссия;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комитет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общее руководство организацией и проведением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место и сроки проведения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747" w:rsidRDefault="00BF29E7" w:rsidP="008C174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Организационного комитета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оперативное регулирование мероприятий по подготовке и проведению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ее функции входит:</w:t>
      </w:r>
    </w:p>
    <w:p w:rsidR="008C1747" w:rsidRDefault="00065DAE" w:rsidP="008C174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управление бюджетом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747" w:rsidRDefault="00065DAE" w:rsidP="008C174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всех организационных и сопутствующих нормативных документов;</w:t>
      </w:r>
    </w:p>
    <w:p w:rsidR="008C1747" w:rsidRDefault="00230CDE" w:rsidP="008C174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контроль 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календарного плана мероприятий (утвержденного председателем Оргкомитета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подготовке и проведению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29E7" w:rsidRPr="00C11FAD" w:rsidRDefault="00065DAE" w:rsidP="008C174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общего контроля </w:t>
      </w:r>
      <w:r w:rsidR="000C447A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всех мероприятий, проводимых в рамках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Рабочая группа Оргкомитета формирует: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штаб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Конкурса;</w:t>
      </w:r>
    </w:p>
    <w:p w:rsidR="001A1C47" w:rsidRPr="00C11FAD" w:rsidRDefault="001A1C4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методическую комиссию Конкурса;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судейскую коллегию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E2F" w:rsidRPr="00C11FAD" w:rsidRDefault="007E3E2F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апелляционную комиссию конкурса;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план мероприятий по подготовке и проведению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координирует работу мандатной комиссии, судейской коллегии и апелляционной комиссии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C47" w:rsidRPr="00C11FAD" w:rsidRDefault="001A1C4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комиссия подготавливает конкурсную и учебно-научную части </w:t>
      </w:r>
      <w:r w:rsidR="005C371B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9E7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Судейская коллегия оценивает уровень профессиональных навыков </w:t>
      </w:r>
      <w:r w:rsidR="00A44615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Конкурса</w:t>
      </w:r>
      <w:r w:rsidR="007450E2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CBD" w:rsidRPr="00C11FAD" w:rsidRDefault="007D3CBD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принимает решение по конфликтным вопросам судейства соревнований и конкурсов.</w:t>
      </w:r>
    </w:p>
    <w:p w:rsidR="0008578F" w:rsidRPr="00C11FAD" w:rsidRDefault="00BF29E7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Подготовительную работу и общую организацию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Школьный факультет </w:t>
      </w:r>
      <w:r w:rsidR="0008578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МГРИ-РГГРУ.</w:t>
      </w:r>
    </w:p>
    <w:p w:rsidR="0008578F" w:rsidRPr="00C11FAD" w:rsidRDefault="0008578F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E7" w:rsidRPr="00574167" w:rsidRDefault="00A44615" w:rsidP="008C1747">
      <w:pPr>
        <w:pStyle w:val="ac"/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 требования к участию</w:t>
      </w:r>
    </w:p>
    <w:p w:rsidR="00CF3D14" w:rsidRPr="00C11FAD" w:rsidRDefault="00CF3D14" w:rsidP="00574167">
      <w:pPr>
        <w:shd w:val="clear" w:color="auto" w:fill="FEFEFE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5C" w:rsidRPr="00C11FAD" w:rsidRDefault="00A668E6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A6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два этапа — заочный</w:t>
      </w:r>
      <w:r w:rsidR="00C8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Pr="00A6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очный</w:t>
      </w:r>
      <w:r w:rsidR="00C8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Pr="00A6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Заочный этап олимпиады проводится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hyperlink r:id="rId9" w:history="1">
        <w:r w:rsidR="00CE1F53" w:rsidRPr="008344B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http://www.geoland.ru/</w:t>
        </w:r>
      </w:hyperlink>
      <w:r w:rsidR="00CE1F53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заочного этапа приглашаются на заключительный очный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95C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заочный этап Конкурса входит</w:t>
      </w:r>
      <w:r w:rsidR="008815F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0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 «Тестирование по геологии, истории и культуре Крыма»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очный этап входит </w:t>
      </w:r>
      <w:r w:rsidR="00DC20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Соревнование «Письменный </w:t>
      </w:r>
      <w:r w:rsidR="002B4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</w:t>
      </w:r>
      <w:r w:rsidR="00DC20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695C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73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1A8" w:rsidRDefault="0074695C" w:rsidP="009241A8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</w:t>
      </w:r>
      <w:r w:rsidR="00CB231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и конкурса в целом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условиями, указанными в </w:t>
      </w:r>
      <w:r w:rsidR="0009110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64373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E9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Конкурса </w:t>
      </w:r>
      <w:r w:rsidR="0064373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DC2084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E2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373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1A8" w:rsidRDefault="009241A8" w:rsidP="009241A8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1A8" w:rsidRDefault="009241A8" w:rsidP="009241A8">
      <w:pPr>
        <w:pStyle w:val="ac"/>
        <w:numPr>
          <w:ilvl w:val="0"/>
          <w:numId w:val="4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Конкурса</w:t>
      </w:r>
    </w:p>
    <w:p w:rsidR="009241A8" w:rsidRPr="009241A8" w:rsidRDefault="009241A8" w:rsidP="009241A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1A8" w:rsidRDefault="009241A8" w:rsidP="009241A8">
      <w:pPr>
        <w:pStyle w:val="ac"/>
        <w:numPr>
          <w:ilvl w:val="1"/>
          <w:numId w:val="4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проведения заочного этапа Конкурса</w:t>
      </w:r>
    </w:p>
    <w:p w:rsidR="009241A8" w:rsidRPr="009241A8" w:rsidRDefault="009241A8" w:rsidP="009241A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Заочный этап Конкурса проводится  </w:t>
      </w:r>
      <w:r w:rsidR="002B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 посредством интернет - портала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2B46B6" w:rsidRPr="008344B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http://www.geoland.ru/</w:t>
        </w:r>
      </w:hyperlink>
      <w:r w:rsidR="00046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1A8" w:rsidRPr="009241A8" w:rsidRDefault="009241A8" w:rsidP="009241A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1A8" w:rsidRDefault="009241A8" w:rsidP="009241A8">
      <w:pPr>
        <w:pStyle w:val="ac"/>
        <w:numPr>
          <w:ilvl w:val="1"/>
          <w:numId w:val="4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проведения очного этапа Конкурса</w:t>
      </w:r>
    </w:p>
    <w:p w:rsidR="009241A8" w:rsidRPr="009241A8" w:rsidRDefault="009241A8" w:rsidP="009241A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 этап </w:t>
      </w:r>
      <w:r w:rsidRPr="00924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 1 октября 2014 года в здании УЛК МГРИ-РГГРУ в аудитории №4 в 18.00 по адресу: 117997, Москва, ГСП-7, ул. Миклухо-Маклая 23. </w:t>
      </w:r>
    </w:p>
    <w:p w:rsidR="009241A8" w:rsidRPr="009241A8" w:rsidRDefault="009241A8" w:rsidP="009241A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69" w:rsidRPr="00C11FAD" w:rsidRDefault="00B75D69" w:rsidP="00574167">
      <w:pPr>
        <w:shd w:val="clear" w:color="auto" w:fill="FEFEFE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BFC" w:rsidRDefault="00BF29E7" w:rsidP="00A668E6">
      <w:pPr>
        <w:pStyle w:val="ac"/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="003349AD" w:rsidRPr="00574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="00643737" w:rsidRPr="00574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668E6" w:rsidRPr="00C83BFC" w:rsidRDefault="00A668E6" w:rsidP="00C83B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41A8" w:rsidRPr="009241A8" w:rsidRDefault="009241A8" w:rsidP="009241A8">
      <w:pPr>
        <w:pStyle w:val="ac"/>
        <w:numPr>
          <w:ilvl w:val="1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68E6" w:rsidRPr="00924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заочного этапа</w:t>
      </w:r>
      <w:r w:rsidR="00C83BFC" w:rsidRPr="00924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:rsidR="00C83BFC" w:rsidRDefault="00452CD5" w:rsidP="00C83BFC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</w:t>
      </w:r>
      <w:r w:rsidR="00CD492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D3595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D492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этапа Конкурса </w:t>
      </w:r>
      <w:r w:rsidR="004D3595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CD492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</w:t>
      </w:r>
      <w:r w:rsidR="004D3595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CD492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086E83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CD492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4D3595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7 по 11 класс</w:t>
      </w:r>
      <w:r w:rsidR="00CD492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6E83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87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учащихся средних профессиональных учреждений, не имеющие полного среднего образования (не сдававшие Единый государственный экзамен)</w:t>
      </w:r>
      <w:r w:rsidR="003906CB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Москвы</w:t>
      </w:r>
      <w:r w:rsidR="00BB4BC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492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заполнивш</w:t>
      </w:r>
      <w:r w:rsidR="004D3595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CD492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отправивш</w:t>
      </w:r>
      <w:r w:rsidR="004D3595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CD492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9E7" w:rsidRPr="00C11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="004D3595" w:rsidRPr="00C11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83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D3595" w:rsidRPr="00C11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="00BF29E7" w:rsidRPr="00C11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2014 г</w:t>
      </w:r>
      <w:r w:rsidR="00BF29E7" w:rsidRPr="00C11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в адрес оргкомитета </w:t>
      </w:r>
      <w:r w:rsidR="003349A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BF29E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7D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C55E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странице </w:t>
      </w:r>
      <w:hyperlink r:id="rId11" w:history="1">
        <w:r w:rsidR="00C74879" w:rsidRPr="00C11FA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http://www.geoland.ru/node/646</w:t>
        </w:r>
      </w:hyperlink>
      <w:r w:rsidR="005B37D7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87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принимают участие в </w:t>
      </w:r>
      <w:r w:rsidR="005C371B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="00C7487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общих основаниях.</w:t>
      </w:r>
    </w:p>
    <w:p w:rsidR="00C83BFC" w:rsidRDefault="00C83BFC" w:rsidP="00A668E6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1A8" w:rsidRPr="009241A8" w:rsidRDefault="009241A8" w:rsidP="009241A8">
      <w:pPr>
        <w:pStyle w:val="ac"/>
        <w:numPr>
          <w:ilvl w:val="1"/>
          <w:numId w:val="4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3BFC" w:rsidRPr="0092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очного этапа</w:t>
      </w:r>
      <w:r w:rsidR="00C74879" w:rsidRPr="0092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3BFC" w:rsidRPr="00924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5D082A" w:rsidRDefault="00C83BFC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очного этапа Конкурса считаются Участники, попавшие в </w:t>
      </w:r>
      <w:r w:rsidR="009241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3595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писок допущенных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 этапа</w:t>
      </w:r>
      <w:r w:rsidR="004D3595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8578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</w:t>
      </w:r>
      <w:r w:rsidR="00272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578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065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публикуется</w:t>
      </w:r>
      <w:r w:rsidR="00CB231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12" w:history="1">
        <w:r w:rsidR="00065DAE" w:rsidRPr="00B3545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http://www.geoland.ru/</w:t>
        </w:r>
      </w:hyperlink>
      <w:r w:rsidR="000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29 сентября 2014 года. Наличие Участника в списке является допуском к прохождению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 этапа Конкурса</w:t>
      </w:r>
      <w:r w:rsidR="0008578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231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регистрации перед прохождением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 этапа Конкурса</w:t>
      </w:r>
      <w:r w:rsidR="000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обязан предоставить паспорт/свидетельство о рождении, в противном случае Участник до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очном этапе </w:t>
      </w:r>
      <w:r w:rsidR="00065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AC20D5" w:rsidRPr="00C11FAD" w:rsidRDefault="00AC20D5" w:rsidP="0057416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15" w:rsidRPr="00AC20D5" w:rsidRDefault="00A44615" w:rsidP="00A668E6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 победителей</w:t>
      </w:r>
    </w:p>
    <w:p w:rsidR="00DA4FFA" w:rsidRPr="00C11FAD" w:rsidRDefault="00DA4FFA" w:rsidP="005741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DA1" w:rsidRPr="00C11FAD" w:rsidRDefault="00E10DA1" w:rsidP="00574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работ и определения победителей </w:t>
      </w:r>
      <w:r w:rsidR="00DB3D9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ргкомитет создает </w:t>
      </w:r>
      <w:r w:rsidR="00DB3D9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Судейскую коллегию Конкурса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оценки выполнения заданий определяется </w:t>
      </w:r>
      <w:r w:rsidR="00DB3D9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Судейской коллегией Конкурса</w:t>
      </w:r>
      <w:r w:rsidR="007C27FA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31F" w:rsidRPr="00C11FAD" w:rsidRDefault="00E10DA1" w:rsidP="00574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выявляютс</w:t>
      </w:r>
      <w:r w:rsidR="00DE541D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C371B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набранных баллов </w:t>
      </w:r>
      <w:r w:rsidR="00F326E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соревнован</w:t>
      </w:r>
      <w:r w:rsidR="00C8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«Письменный </w:t>
      </w:r>
      <w:r w:rsidR="002B4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</w:t>
      </w:r>
      <w:r w:rsidR="00C83B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очного этапа Конкурса</w:t>
      </w:r>
      <w:r w:rsidR="0057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одинаковой сумме баллов, место выше получает участник, затративший меньше времени на прохождение </w:t>
      </w:r>
      <w:r w:rsidR="00C8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 этапа Конкурса</w:t>
      </w:r>
      <w:r w:rsidR="0057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371B" w:rsidRPr="00813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итогов</w:t>
      </w:r>
      <w:r w:rsidR="00C83BFC" w:rsidRPr="0081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1B" w:rsidRPr="00813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ценз</w:t>
      </w:r>
      <w:r w:rsidR="00CB231F" w:rsidRPr="0081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C371B" w:rsidRPr="0081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лет обучения в геологических объединениях и кружках не учитыва</w:t>
      </w:r>
      <w:r w:rsidR="00CB231F" w:rsidRPr="008131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371B" w:rsidRPr="0081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тся.</w:t>
      </w:r>
      <w:r w:rsidR="005C371B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41D" w:rsidRPr="00C11FAD" w:rsidRDefault="00DE541D" w:rsidP="00574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Конкурса признает право спонсоров на награждение отличившихся участников ценными призами и подарками из собственных фондов и предоставляет в их распоряжение грамоты и почетные знаки Конкурса. </w:t>
      </w:r>
    </w:p>
    <w:p w:rsidR="00F326E0" w:rsidRPr="00C11FAD" w:rsidRDefault="00DE541D" w:rsidP="00574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грамотами и призами проводится от имени Оргкомитета Конкурса. Оргкомитет Конкурса не признает право на награждение участников Конкурса организациями, частными и иными лицами, не имеющими отношения к организации и проведению Конкурса.  Кроме того, </w:t>
      </w:r>
      <w:r w:rsidR="00DB3D9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ргкомитет оставляет за собой право награждать активных участников специальными призами </w:t>
      </w:r>
      <w:r w:rsidR="00DB3D9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ргкомитета. </w:t>
      </w:r>
    </w:p>
    <w:p w:rsidR="00A44615" w:rsidRPr="00C11FAD" w:rsidRDefault="00B2269A" w:rsidP="00574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Обладатели 40 лучших результатов </w:t>
      </w:r>
      <w:r w:rsidR="00982C42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сумме баллов 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возможность </w:t>
      </w:r>
      <w:r w:rsidR="002C55E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Геологическ</w:t>
      </w:r>
      <w:r w:rsidR="002C55E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экспедици</w:t>
      </w:r>
      <w:r w:rsidR="002C55E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школьников по Бахчисарайскому району</w:t>
      </w:r>
      <w:r w:rsidR="00F84C4C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Экспедиция). </w:t>
      </w:r>
      <w:r w:rsidR="00710888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одного или нескольких </w:t>
      </w:r>
      <w:r w:rsidR="00432E2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10888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обедителей от участия в Экспедиции, Оргкомитет оставляет за собой право предоставлени</w:t>
      </w:r>
      <w:r w:rsidR="00432E2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10888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 Экспедици</w:t>
      </w:r>
      <w:r w:rsidR="00432E2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10888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Участникам Конкурса в соответствии с </w:t>
      </w:r>
      <w:r w:rsidR="00CB231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 w:rsidR="00710888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квотами.</w:t>
      </w:r>
    </w:p>
    <w:p w:rsidR="008815F0" w:rsidRPr="004B4437" w:rsidRDefault="00DE541D" w:rsidP="00574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Конкурса проводится заочно.</w:t>
      </w:r>
    </w:p>
    <w:p w:rsidR="00AC20D5" w:rsidRPr="004B4437" w:rsidRDefault="00AC20D5" w:rsidP="00574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79" w:rsidRPr="00AC20D5" w:rsidRDefault="00AC20D5" w:rsidP="00A668E6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Отчётность о проведении</w:t>
      </w:r>
    </w:p>
    <w:p w:rsidR="00C74879" w:rsidRPr="00C11FAD" w:rsidRDefault="00C74879" w:rsidP="0057416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879" w:rsidRPr="00C11FAD" w:rsidRDefault="00C74879" w:rsidP="00574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о проведении Конкурса утверждается председателем Оргкомитета </w:t>
      </w:r>
      <w:r w:rsidR="0022375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календарных дней по окончании Конкурса</w:t>
      </w:r>
      <w:r w:rsidR="00CB231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сайте Конкурса в сети интернет</w:t>
      </w:r>
      <w:r w:rsidR="00710888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5F0" w:rsidRPr="00C11FAD" w:rsidRDefault="008815F0" w:rsidP="0057416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15" w:rsidRPr="00574167" w:rsidRDefault="00A44615" w:rsidP="00A668E6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и материальное обеспечение Конкурса</w:t>
      </w:r>
    </w:p>
    <w:p w:rsidR="00A44615" w:rsidRPr="00C11FAD" w:rsidRDefault="00A44615" w:rsidP="0057416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69" w:rsidRPr="00C11FAD" w:rsidRDefault="00A44615" w:rsidP="00574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 Конкурса утверждается Оргкомитетом. Финансирование мероприятий, связанных с подгот</w:t>
      </w:r>
      <w:r w:rsidR="00982C42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овкой, проведением</w:t>
      </w:r>
      <w:r w:rsidR="0078110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осуществляется за счет субсидии, выделенной по р</w:t>
      </w:r>
      <w:r w:rsidRPr="00C11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ешению Комиссии по предоставлению субсидий из бюджета города Москвы федеральным государственным бюджетным и автономным образовательным организациям высшего образования (протокол №7 от 18 июня 2014 г.).</w:t>
      </w:r>
    </w:p>
    <w:p w:rsidR="00B75D69" w:rsidRPr="00C11FAD" w:rsidRDefault="00B75D69" w:rsidP="0057416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C42" w:rsidRPr="00574167" w:rsidRDefault="00B75D69" w:rsidP="00A668E6">
      <w:pPr>
        <w:pStyle w:val="ac"/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организационного комитета Конкурса:</w:t>
      </w:r>
    </w:p>
    <w:p w:rsidR="00B75D69" w:rsidRPr="00C11FAD" w:rsidRDefault="00B75D69" w:rsidP="00574167">
      <w:pPr>
        <w:shd w:val="clear" w:color="auto" w:fill="FEFEFE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D69" w:rsidRPr="00C11FAD" w:rsidRDefault="00574167" w:rsidP="008C1747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УЛК МГРИ-РГГРУ, </w:t>
      </w:r>
      <w:r w:rsidR="00FB2E9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117997, Москва, </w:t>
      </w:r>
      <w:r w:rsidR="00F326E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ГСП-7, </w:t>
      </w:r>
      <w:r w:rsidR="00FB2E9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Миклухо-Маклая 23, кабинет 3-33.</w:t>
      </w:r>
      <w:r w:rsidR="00CB231F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D69" w:rsidRPr="00C11FAD" w:rsidRDefault="00B75D69" w:rsidP="008C1747">
      <w:pPr>
        <w:shd w:val="clear" w:color="auto" w:fill="FEFEFE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(495) 433-62-33, доп. 11-45</w:t>
      </w:r>
    </w:p>
    <w:p w:rsidR="00B75D69" w:rsidRPr="00C11FAD" w:rsidRDefault="00B75D69" w:rsidP="008C1747">
      <w:pPr>
        <w:shd w:val="clear" w:color="auto" w:fill="FEFEFE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(495) 433-62-56 (с пометкой Школьный Факультет)</w:t>
      </w:r>
    </w:p>
    <w:p w:rsidR="00B75D69" w:rsidRDefault="00B75D69" w:rsidP="008C1747">
      <w:pPr>
        <w:shd w:val="clear" w:color="auto" w:fill="FEFEFE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3" w:history="1">
        <w:r w:rsidRPr="00C11FA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shf</w:t>
        </w:r>
        <w:r w:rsidRPr="00C11FA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C11FA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rggru</w:t>
        </w:r>
        <w:r w:rsidRPr="00C11FA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Pr="00C11FA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yandex</w:t>
        </w:r>
        <w:r w:rsidRPr="00C11FA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C11FA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оперативная почта рабочей группы Оргкомитета Конкурса</w:t>
      </w:r>
    </w:p>
    <w:p w:rsidR="008C1747" w:rsidRPr="00C11FAD" w:rsidRDefault="008C1747" w:rsidP="008C1747">
      <w:pPr>
        <w:shd w:val="clear" w:color="auto" w:fill="FEFEFE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7" w:rsidRPr="00C11FAD" w:rsidRDefault="00B75D69" w:rsidP="008C1747">
      <w:pPr>
        <w:shd w:val="clear" w:color="auto" w:fill="FEFEFE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</w:t>
      </w:r>
      <w:r w:rsidR="00F326E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F326E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Конкурса:</w:t>
      </w:r>
    </w:p>
    <w:p w:rsidR="00F326E0" w:rsidRPr="00C11FAD" w:rsidRDefault="00476086" w:rsidP="008C1747">
      <w:pPr>
        <w:shd w:val="clear" w:color="auto" w:fill="FEFEFE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75D69" w:rsidRPr="00C11F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http://geoland.ru</w:t>
        </w:r>
      </w:hyperlink>
      <w:r w:rsidR="00B75D69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Школьного факультета Российского государственного геологоразведочного университета им. Серго Орджоникидзе</w:t>
      </w:r>
    </w:p>
    <w:p w:rsidR="00A34C42" w:rsidRPr="00FB2E90" w:rsidRDefault="00476086" w:rsidP="008C1747">
      <w:pPr>
        <w:shd w:val="clear" w:color="auto" w:fill="FEFEFE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F326E0" w:rsidRPr="00C11FA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http://mgri-rggru.ru</w:t>
        </w:r>
      </w:hyperlink>
      <w:r w:rsidR="00F326E0" w:rsidRPr="00C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Российского государственного геологоразведочного университета им. Серго Орджоникидзе (МГРИ-РГГРУ)</w:t>
      </w:r>
      <w:r w:rsidR="00A34C42" w:rsidRPr="00FB2E9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4C42" w:rsidRPr="00FB2E90" w:rsidRDefault="00A34C42" w:rsidP="00A34C42">
      <w:pPr>
        <w:shd w:val="clear" w:color="auto" w:fill="FEFEFE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FB2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положени</w:t>
      </w:r>
      <w:r w:rsidR="007E6616"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 о конкурсе</w:t>
      </w:r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gramStart"/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Открытый</w:t>
      </w:r>
      <w:proofErr w:type="gramEnd"/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34C42" w:rsidRPr="00FB2E90" w:rsidRDefault="00A34C42" w:rsidP="00A34C42">
      <w:pPr>
        <w:shd w:val="clear" w:color="auto" w:fill="FEFEFE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геологический Конкурс </w:t>
      </w:r>
      <w:r w:rsidR="007E6616"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геологии,</w:t>
      </w:r>
    </w:p>
    <w:p w:rsidR="00A34C42" w:rsidRPr="00FB2E90" w:rsidRDefault="00A34C42" w:rsidP="00A34C42">
      <w:pPr>
        <w:shd w:val="clear" w:color="auto" w:fill="FEFEFE"/>
        <w:spacing w:after="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истории и культуре Крыма»</w:t>
      </w:r>
    </w:p>
    <w:p w:rsidR="00A34C42" w:rsidRDefault="00A34C42" w:rsidP="00A34C42">
      <w:pPr>
        <w:shd w:val="clear" w:color="auto" w:fill="FEFEFE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DAE" w:rsidRPr="00FB2E90" w:rsidRDefault="00065DAE" w:rsidP="00A34C42">
      <w:pPr>
        <w:shd w:val="clear" w:color="auto" w:fill="FEFEFE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42" w:rsidRDefault="00A34C42" w:rsidP="00A34C42">
      <w:pPr>
        <w:shd w:val="clear" w:color="auto" w:fill="FEFEFE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комитет</w:t>
      </w:r>
    </w:p>
    <w:p w:rsidR="00065DAE" w:rsidRPr="0013482E" w:rsidRDefault="00065DAE" w:rsidP="00A34C42">
      <w:pPr>
        <w:shd w:val="clear" w:color="auto" w:fill="FEFE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C42" w:rsidRPr="00FB2E90" w:rsidRDefault="00A34C42" w:rsidP="00A34C42">
      <w:pPr>
        <w:shd w:val="clear" w:color="auto" w:fill="FEFEFE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Оргкомитета:</w:t>
      </w:r>
    </w:p>
    <w:tbl>
      <w:tblPr>
        <w:tblW w:w="9021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663"/>
      </w:tblGrid>
      <w:tr w:rsidR="003604CD" w:rsidRPr="00FB2E90" w:rsidTr="0013482E">
        <w:trPr>
          <w:trHeight w:val="81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A34C42" w:rsidRPr="00FB2E90" w:rsidRDefault="007E3E2F" w:rsidP="00A34C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Верчеба Александр Александрович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A34C42" w:rsidRPr="00FB2E90" w:rsidRDefault="007E3E2F" w:rsidP="00432E2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</w:t>
            </w:r>
            <w:r w:rsidR="0043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МГРИ-РГГРУ, заведующий кафедрой ГМПИ МГРИ-РГГРУ</w:t>
            </w:r>
            <w:r w:rsidR="0013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геолого-минералогических наук</w:t>
            </w:r>
          </w:p>
        </w:tc>
      </w:tr>
    </w:tbl>
    <w:p w:rsidR="00A34C42" w:rsidRPr="00FB2E90" w:rsidRDefault="00A34C42" w:rsidP="00A34C42">
      <w:pPr>
        <w:shd w:val="clear" w:color="auto" w:fill="FEFEFE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Сопредседател</w:t>
      </w:r>
      <w:r w:rsidR="009056F7" w:rsidRPr="00FB2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FB2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оргкомитета:</w:t>
      </w:r>
    </w:p>
    <w:tbl>
      <w:tblPr>
        <w:tblW w:w="9021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663"/>
      </w:tblGrid>
      <w:tr w:rsidR="003604CD" w:rsidRPr="00FB2E90" w:rsidTr="0013482E">
        <w:trPr>
          <w:trHeight w:val="81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A34C42" w:rsidRPr="00FB2E90" w:rsidRDefault="009056F7" w:rsidP="009056F7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Пётр Алексеевич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A34C42" w:rsidRPr="00FB2E90" w:rsidRDefault="009056F7" w:rsidP="0013482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Школьного факультета, </w:t>
            </w:r>
            <w:r w:rsidR="00432E29" w:rsidRPr="0043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="00432E29" w:rsidRPr="0043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кафедр</w:t>
            </w:r>
            <w:r w:rsidR="0013482E" w:rsidRPr="0032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="00432E29" w:rsidRPr="0043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ГМПИ МГРИ-РГГРУ</w:t>
            </w:r>
            <w:r w:rsidR="0013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геолого-минералогических наук</w:t>
            </w:r>
          </w:p>
        </w:tc>
      </w:tr>
      <w:tr w:rsidR="009056F7" w:rsidRPr="00FB2E90" w:rsidTr="0013482E">
        <w:trPr>
          <w:trHeight w:val="480"/>
        </w:trPr>
        <w:tc>
          <w:tcPr>
            <w:tcW w:w="9021" w:type="dxa"/>
            <w:gridSpan w:val="2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 w:rsidP="00A34C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Заместители сопредседателей Оргкомитета:</w:t>
            </w:r>
          </w:p>
        </w:tc>
      </w:tr>
      <w:tr w:rsidR="009056F7" w:rsidRPr="00FB2E90" w:rsidTr="0013482E">
        <w:trPr>
          <w:trHeight w:val="33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Иван Дмитриевич</w:t>
            </w:r>
          </w:p>
        </w:tc>
        <w:tc>
          <w:tcPr>
            <w:tcW w:w="6663" w:type="dxa"/>
            <w:shd w:val="clear" w:color="auto" w:fill="FEFEFE"/>
            <w:vAlign w:val="center"/>
          </w:tcPr>
          <w:p w:rsidR="009056F7" w:rsidRPr="00FB2E90" w:rsidRDefault="009056F7" w:rsidP="00F74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Pr="005A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="0013482E" w:rsidRPr="005A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литологии</w:t>
            </w:r>
            <w:r w:rsidRPr="005A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3482E" w:rsidRPr="005A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A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РИ-РГГРУ, ведущий геолог</w:t>
            </w:r>
            <w:r w:rsidR="0013482E" w:rsidRPr="005A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 горно-геологического отдел</w:t>
            </w:r>
            <w:proofErr w:type="gramStart"/>
            <w:r w:rsidR="0013482E" w:rsidRPr="005A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1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</w:t>
            </w:r>
            <w:proofErr w:type="gramEnd"/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«НВК ДЖЕМКОМ СОФТВЭА РУС»</w:t>
            </w:r>
            <w:r w:rsidR="00F7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7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геолого-минералогических наук</w:t>
            </w:r>
          </w:p>
        </w:tc>
      </w:tr>
      <w:tr w:rsidR="009056F7" w:rsidRPr="00FB2E90" w:rsidTr="0013482E">
        <w:trPr>
          <w:trHeight w:val="81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Красников Руслан Владимирович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 w:rsidP="00134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</w:t>
            </w:r>
            <w:r w:rsidR="0013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ШФ</w:t>
            </w: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 по учебно-методической</w:t>
            </w:r>
            <w:r w:rsidR="00A4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EE7"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A4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опережающей профориентации </w:t>
            </w:r>
            <w:r w:rsidR="0013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деканата</w:t>
            </w: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ИГМР</w:t>
            </w: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МГРИ-РГГРУ, геолог</w:t>
            </w:r>
            <w:r w:rsidR="0013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48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13482E" w:rsidRPr="0013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 «Рудгеоразведка»</w:t>
            </w:r>
          </w:p>
        </w:tc>
      </w:tr>
      <w:tr w:rsidR="009056F7" w:rsidRPr="00FB2E90" w:rsidTr="0013482E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Шпекторов Александр Андреевич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 ШФ МГРИ-РГГРУ, ведущий геолог ЗАО «Рудгеоразведка»</w:t>
            </w:r>
          </w:p>
        </w:tc>
      </w:tr>
      <w:tr w:rsidR="003604CD" w:rsidRPr="00FB2E90" w:rsidTr="0013482E">
        <w:trPr>
          <w:trHeight w:val="300"/>
        </w:trPr>
        <w:tc>
          <w:tcPr>
            <w:tcW w:w="9021" w:type="dxa"/>
            <w:gridSpan w:val="2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34C42" w:rsidRPr="00FB2E90" w:rsidRDefault="00A34C42" w:rsidP="00A34C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Оргкомитета:</w:t>
            </w: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Брызгалов Дмитрий Львович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Педагог Дома детского творчества «Исток» ЮАО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Бузин Артём Алексеевич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</w:t>
            </w:r>
            <w:proofErr w:type="spellStart"/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5C766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Владимирцева Алина Владимировна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Студент ИГМР МГРИ-РГГРУ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Градовский</w:t>
            </w:r>
            <w:proofErr w:type="spellEnd"/>
            <w:r w:rsidRPr="005C766E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Доцент кафедры геологии месторождений полезных ископаемых, кандидат геолого-минералогических наук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Жданов Алексей Владимирович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ИГМР МГРИ-РГГРУ, кандидат геолого-минералогических наук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0E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 xml:space="preserve">Зарипов Наиль </w:t>
            </w:r>
            <w:proofErr w:type="spellStart"/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натович</w:t>
            </w:r>
            <w:proofErr w:type="spellEnd"/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Аспирант кафедры ГМПИ ИГМР МГРИ-РГГРУ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Имамендинов</w:t>
            </w:r>
            <w:proofErr w:type="spellEnd"/>
            <w:r w:rsidRPr="005C766E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Нуруллович</w:t>
            </w:r>
            <w:proofErr w:type="spellEnd"/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«НУЦ Минеральные ресурсы»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0E1FD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Корсаков А</w:t>
            </w:r>
            <w:r w:rsidR="005C766E" w:rsidRPr="005C766E">
              <w:rPr>
                <w:rFonts w:ascii="Times New Roman" w:hAnsi="Times New Roman" w:cs="Times New Roman"/>
                <w:sz w:val="24"/>
                <w:szCs w:val="24"/>
              </w:rPr>
              <w:t>натолий Константинович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Об</w:t>
            </w:r>
            <w:r w:rsidR="00F93A1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ей геологии и геологического картирования ИГМР МГРИ-РГГРУ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Миронов Павел Андреевич</w:t>
            </w:r>
          </w:p>
          <w:p w:rsidR="005A1C80" w:rsidRPr="005C766E" w:rsidRDefault="005A1C80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Митюгов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Студент ИГМР МГРИ-РГГРУ</w:t>
            </w:r>
          </w:p>
          <w:p w:rsidR="005A1C80" w:rsidRPr="005C766E" w:rsidRDefault="005A1C80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Студент ИГМР МГРИ-РГГРУ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Моисеенко Владимир Павлович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Молодежной политики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Пилипенко Георгий Николаевич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Профессор кафедры геологии месторождений полезных ископаемых, кандидат геолого-минералогических наук</w:t>
            </w:r>
          </w:p>
        </w:tc>
      </w:tr>
      <w:tr w:rsidR="005C766E" w:rsidRPr="00FB2E90" w:rsidTr="00AD1CB1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Протасов Илья Игоревич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C766E" w:rsidRPr="005C766E" w:rsidRDefault="005C766E" w:rsidP="00D9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E">
              <w:rPr>
                <w:rFonts w:ascii="Times New Roman" w:hAnsi="Times New Roman" w:cs="Times New Roman"/>
                <w:sz w:val="24"/>
                <w:szCs w:val="24"/>
              </w:rPr>
              <w:t>Студент ИГМР МГРИ-РГГРУ</w:t>
            </w:r>
          </w:p>
        </w:tc>
      </w:tr>
      <w:tr w:rsidR="005A1C80" w:rsidRPr="005A1C80" w:rsidTr="005A1C80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Протасова Валентина Алексеевна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Студент ИГМР МГРИ-РГГРУ</w:t>
            </w:r>
          </w:p>
        </w:tc>
      </w:tr>
      <w:tr w:rsidR="005A1C80" w:rsidRPr="005A1C80" w:rsidTr="005A1C80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Турова Александр Васильевич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Региональной геологии, доцент</w:t>
            </w:r>
          </w:p>
        </w:tc>
      </w:tr>
      <w:tr w:rsidR="005A1C80" w:rsidRPr="005A1C80" w:rsidTr="005A1C80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Фатеев Алексей Владимирович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Начальник отдела внедрения ООО «НВК ДЖЕМКОМ СОФТВЭА РУС»</w:t>
            </w:r>
          </w:p>
        </w:tc>
      </w:tr>
      <w:tr w:rsidR="005A1C80" w:rsidRPr="005A1C80" w:rsidTr="005A1C80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Ходня Мария Сергеевна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Студент ИГМР МГРИ-РГГРУ</w:t>
            </w:r>
          </w:p>
        </w:tc>
      </w:tr>
      <w:tr w:rsidR="005A1C80" w:rsidRPr="005A1C80" w:rsidTr="005A1C80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Шмонов Алексей Михайлович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Аспирант кафедры ГМПИ ИГМР МГРИ-РГГРУ</w:t>
            </w:r>
          </w:p>
        </w:tc>
      </w:tr>
      <w:tr w:rsidR="005A1C80" w:rsidRPr="005A1C80" w:rsidTr="005A1C80">
        <w:trPr>
          <w:trHeight w:val="300"/>
        </w:trPr>
        <w:tc>
          <w:tcPr>
            <w:tcW w:w="2358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Юрчикова Елена Валерьевна</w:t>
            </w:r>
          </w:p>
        </w:tc>
        <w:tc>
          <w:tcPr>
            <w:tcW w:w="6663" w:type="dxa"/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5A1C80" w:rsidRPr="005A1C80" w:rsidRDefault="005A1C80" w:rsidP="005A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80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и воспитательной работе МГРИ-РГГРУ, кандидат исторических наук</w:t>
            </w:r>
          </w:p>
        </w:tc>
      </w:tr>
    </w:tbl>
    <w:p w:rsidR="005C766E" w:rsidRDefault="005C766E" w:rsidP="005A1C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4E2" w:rsidRPr="00FB2E90" w:rsidRDefault="00E604E2" w:rsidP="00E604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группа Оргкомитета</w:t>
      </w:r>
    </w:p>
    <w:p w:rsidR="004C3A5B" w:rsidRPr="00FB2E90" w:rsidRDefault="004C3A5B" w:rsidP="00DA4F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1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663"/>
      </w:tblGrid>
      <w:tr w:rsidR="003604CD" w:rsidRPr="00FB2E90" w:rsidTr="00B312C5">
        <w:trPr>
          <w:trHeight w:val="300"/>
        </w:trPr>
        <w:tc>
          <w:tcPr>
            <w:tcW w:w="9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34C42" w:rsidRPr="00FB2E90" w:rsidRDefault="00E604E2" w:rsidP="00B312C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рабочей группы Оргкомитета</w:t>
            </w:r>
            <w:r w:rsidR="00AA5AD0" w:rsidRPr="00FB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AA5AD0"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604CD" w:rsidRPr="00FB2E90" w:rsidTr="00410A1C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A34C42" w:rsidRPr="00FB2E90" w:rsidRDefault="004D3595" w:rsidP="00B312C5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Владимирцева Ольга Владимировна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A34C42" w:rsidRPr="00FB2E90" w:rsidRDefault="004D3595" w:rsidP="00B312C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ШФ МГРИ-РГГРУ</w:t>
            </w:r>
          </w:p>
        </w:tc>
      </w:tr>
    </w:tbl>
    <w:p w:rsidR="00AA5AD0" w:rsidRPr="00FB2E90" w:rsidRDefault="00AA5AD0" w:rsidP="00DA4F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D5" w:rsidRPr="00FB2E90" w:rsidRDefault="00452CD5" w:rsidP="00DA4F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1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663"/>
      </w:tblGrid>
      <w:tr w:rsidR="003604CD" w:rsidRPr="00FB2E90" w:rsidTr="00B312C5">
        <w:trPr>
          <w:trHeight w:val="300"/>
        </w:trPr>
        <w:tc>
          <w:tcPr>
            <w:tcW w:w="9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34C42" w:rsidRPr="00FB2E90" w:rsidRDefault="00E604E2" w:rsidP="005C766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рабочей группы Оргкомитета</w:t>
            </w:r>
            <w:r w:rsidR="005C7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AA5AD0"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056F7" w:rsidRPr="00FB2E90" w:rsidTr="00B97E38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Брызгалов Дмитрий Львович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49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056F7"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 Дома детского творчества «Исток» ЮАО</w:t>
            </w:r>
          </w:p>
        </w:tc>
      </w:tr>
      <w:tr w:rsidR="009056F7" w:rsidRPr="00FB2E90" w:rsidTr="00B97E38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Владимирцева Алина Владимировна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ИГМР МГРИ-РГГРУ</w:t>
            </w:r>
          </w:p>
        </w:tc>
      </w:tr>
      <w:tr w:rsidR="009056F7" w:rsidRPr="00FB2E90" w:rsidTr="00B97E38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0E1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Зарипов Наиль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9056F7"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натович</w:t>
            </w:r>
            <w:proofErr w:type="spellEnd"/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 кафедры ГМПИ ИГМР МГРИ-РГГРУ</w:t>
            </w:r>
          </w:p>
        </w:tc>
      </w:tr>
      <w:tr w:rsidR="009056F7" w:rsidRPr="00FB2E90" w:rsidTr="00B97E38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Павел Андреевич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ИГМР МГРИ-РГГРУ</w:t>
            </w:r>
          </w:p>
        </w:tc>
      </w:tr>
      <w:tr w:rsidR="009056F7" w:rsidRPr="00FB2E90" w:rsidTr="00B97E38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Митюгов</w:t>
            </w:r>
            <w:proofErr w:type="spellEnd"/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Михайлович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Заместитель Декана ШФ МГРИ-РГГРУ по общим вопросам</w:t>
            </w:r>
          </w:p>
        </w:tc>
      </w:tr>
      <w:tr w:rsidR="009056F7" w:rsidRPr="00FB2E90" w:rsidTr="00B97E38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 Илья Игоревич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ИГМР МГРИ-РГГРУ</w:t>
            </w:r>
          </w:p>
        </w:tc>
      </w:tr>
      <w:tr w:rsidR="009056F7" w:rsidRPr="00FB2E90" w:rsidTr="004D3595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Протасова Валентина Алексеевна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ИГМР МГРИ-РГГРУ</w:t>
            </w:r>
          </w:p>
        </w:tc>
      </w:tr>
      <w:tr w:rsidR="009056F7" w:rsidRPr="00FB2E90" w:rsidTr="004D3595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Ходня Мария Сергеевна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Декана ШФ МГРИ-РГГРУ по учебной работе</w:t>
            </w:r>
          </w:p>
        </w:tc>
      </w:tr>
      <w:tr w:rsidR="009056F7" w:rsidRPr="00FB2E90" w:rsidTr="00DB5121">
        <w:trPr>
          <w:trHeight w:val="300"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Шмонов Алексей Михайлович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EF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9056F7" w:rsidRPr="00FB2E90" w:rsidRDefault="00905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 кафедры ГМПИ ИГМР МГРИ-РГГРУ</w:t>
            </w:r>
          </w:p>
        </w:tc>
      </w:tr>
    </w:tbl>
    <w:p w:rsidR="00A62428" w:rsidRPr="00F93A19" w:rsidRDefault="00A62428" w:rsidP="00F93A19">
      <w:pPr>
        <w:tabs>
          <w:tab w:val="left" w:pos="55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2428" w:rsidRPr="00F93A19" w:rsidSect="00933A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3A5B" w:rsidRPr="00FB2E90" w:rsidRDefault="007E6616" w:rsidP="007E661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604CD" w:rsidRPr="00FB2E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E6616" w:rsidRPr="00FB2E90" w:rsidRDefault="007E6616" w:rsidP="007E6616">
      <w:pPr>
        <w:shd w:val="clear" w:color="auto" w:fill="FEFEFE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положению о конкурсе «</w:t>
      </w:r>
      <w:proofErr w:type="gramStart"/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Открытый</w:t>
      </w:r>
      <w:proofErr w:type="gramEnd"/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E6616" w:rsidRPr="00FB2E90" w:rsidRDefault="007E6616" w:rsidP="007E6616">
      <w:pPr>
        <w:shd w:val="clear" w:color="auto" w:fill="FEFEFE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геологический Конкурс по геологии,</w:t>
      </w:r>
    </w:p>
    <w:p w:rsidR="007E6616" w:rsidRPr="00FB2E90" w:rsidRDefault="007E6616" w:rsidP="007E6616">
      <w:pPr>
        <w:shd w:val="clear" w:color="auto" w:fill="FEFEFE"/>
        <w:spacing w:after="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истории и культуре Крыма»</w:t>
      </w:r>
    </w:p>
    <w:p w:rsidR="007E6616" w:rsidRPr="00FB2E90" w:rsidRDefault="007E6616" w:rsidP="007E661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16" w:rsidRPr="00FB2E90" w:rsidRDefault="007E6616" w:rsidP="007E6616">
      <w:pPr>
        <w:shd w:val="clear" w:color="auto" w:fill="FEFEFE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750" w:rsidRDefault="00223750" w:rsidP="00091104">
      <w:pPr>
        <w:pStyle w:val="ac"/>
        <w:shd w:val="clear" w:color="auto" w:fill="FEFEFE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091104" w:rsidRPr="00223750" w:rsidRDefault="00091104" w:rsidP="00223750">
      <w:pPr>
        <w:pStyle w:val="ac"/>
        <w:shd w:val="clear" w:color="auto" w:fill="FEFEFE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616" w:rsidRPr="00091104" w:rsidRDefault="00223750" w:rsidP="007E6616">
      <w:pPr>
        <w:pStyle w:val="ac"/>
        <w:numPr>
          <w:ilvl w:val="0"/>
          <w:numId w:val="2"/>
        </w:numPr>
        <w:shd w:val="clear" w:color="auto" w:fill="FEFEFE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7E6616" w:rsidRPr="00091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616" w:rsidRPr="004B4437" w:rsidRDefault="007E6616" w:rsidP="008334CC">
      <w:pPr>
        <w:shd w:val="clear" w:color="auto" w:fill="FEFEFE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2493B"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проведение соревнований, которые проводятся в соответствии с Положением </w:t>
      </w:r>
      <w:r w:rsidR="0032493B"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Конкурсе</w:t>
      </w: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настоящими Условиями:</w:t>
      </w:r>
    </w:p>
    <w:p w:rsidR="0032493B" w:rsidRPr="004B4437" w:rsidRDefault="0032493B" w:rsidP="008334CC">
      <w:pPr>
        <w:shd w:val="clear" w:color="auto" w:fill="FEFEFE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является личным состязанием</w:t>
      </w:r>
    </w:p>
    <w:p w:rsidR="007E6616" w:rsidRPr="004B4437" w:rsidRDefault="0032493B" w:rsidP="008334CC">
      <w:pPr>
        <w:shd w:val="clear" w:color="auto" w:fill="FEFEFE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-Победители Конкурса определяются по </w:t>
      </w:r>
      <w:r w:rsidR="00771054" w:rsidRPr="0077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баллов за </w:t>
      </w:r>
      <w:r w:rsidR="00771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 этап Конкурса</w:t>
      </w: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7E6616" w:rsidRPr="004B4437" w:rsidRDefault="007E6616" w:rsidP="008334CC">
      <w:pPr>
        <w:shd w:val="clear" w:color="auto" w:fill="FEFEFE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выступления на соревнованиях оцениваются в баллах. Критериями для их начисления являются правильность и точность выполнения </w:t>
      </w:r>
      <w:r w:rsidR="0032493B"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задания. Система оценки каждого </w:t>
      </w: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приведена в соответствующих разделах.</w:t>
      </w:r>
    </w:p>
    <w:p w:rsidR="007E6616" w:rsidRPr="004B4437" w:rsidRDefault="007E6616" w:rsidP="008334CC">
      <w:pPr>
        <w:shd w:val="clear" w:color="auto" w:fill="FEFEFE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грубые нарушения</w:t>
      </w:r>
      <w:r w:rsidR="00F9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очного этапа Конкурса</w:t>
      </w: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неявку, опоздания, самовольные отлучки, подсказки от товарищей</w:t>
      </w:r>
      <w:r w:rsidR="003604CD"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участники снимаются с соревнований и их результаты аннулируются.</w:t>
      </w:r>
    </w:p>
    <w:p w:rsidR="007E6616" w:rsidRPr="004B4437" w:rsidRDefault="0032493B" w:rsidP="008334CC">
      <w:pPr>
        <w:shd w:val="clear" w:color="auto" w:fill="FEFEFE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</w:t>
      </w:r>
      <w:r w:rsidR="007E6616"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личный зачёт, который формируется исходя из </w:t>
      </w:r>
      <w:r w:rsidR="00C83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баллов, набранных Участником в очном этапе Конкурса</w:t>
      </w:r>
      <w:r w:rsidR="007E6616" w:rsidRPr="004B4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750" w:rsidRPr="004B4437" w:rsidRDefault="00223750" w:rsidP="00223750">
      <w:pPr>
        <w:shd w:val="clear" w:color="auto" w:fill="FEFEFE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04" w:rsidRPr="004B4437" w:rsidRDefault="00223750" w:rsidP="00091104">
      <w:pPr>
        <w:pStyle w:val="ac"/>
        <w:numPr>
          <w:ilvl w:val="0"/>
          <w:numId w:val="2"/>
        </w:numPr>
        <w:shd w:val="clear" w:color="auto" w:fill="FEFEFE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</w:t>
      </w:r>
    </w:p>
    <w:p w:rsidR="00F93A19" w:rsidRPr="00F93A19" w:rsidRDefault="00223750" w:rsidP="00F93A19">
      <w:pPr>
        <w:pStyle w:val="ac"/>
        <w:numPr>
          <w:ilvl w:val="1"/>
          <w:numId w:val="2"/>
        </w:numPr>
        <w:shd w:val="clear" w:color="auto" w:fill="FEFEFE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Соревнование «Тестирование по геологии, истории и культуре Крыма»</w:t>
      </w:r>
      <w:r w:rsidR="00C83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заочного этапа Конкурса</w:t>
      </w:r>
    </w:p>
    <w:p w:rsidR="008B04D2" w:rsidRDefault="0026198D" w:rsidP="002B46B6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регистрации </w:t>
      </w:r>
      <w:r w:rsidR="00F93A19"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 </w:t>
      </w:r>
      <w:r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получает логин</w:t>
      </w:r>
      <w:r w:rsidR="00CE1F53"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пароль, необходимые для прохождения </w:t>
      </w:r>
      <w:r w:rsidR="00494F9E"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Соревнования </w:t>
      </w:r>
      <w:r w:rsidR="00F93A19"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«Тестирование по геол</w:t>
      </w:r>
      <w:r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огии, истории и культуре Крыма»</w:t>
      </w:r>
      <w:r w:rsidR="00494F9E"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ссылку</w:t>
      </w:r>
      <w:r w:rsidR="00CE1F53"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 которой </w:t>
      </w:r>
      <w:r w:rsidR="008131A2"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</w:t>
      </w:r>
      <w:r w:rsidR="00CE1F53"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пройти Тест</w:t>
      </w:r>
      <w:r w:rsidR="00F93A19" w:rsidRPr="0081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93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Тест </w:t>
      </w:r>
      <w:r w:rsidR="00091104" w:rsidRPr="004B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состоит из 30 вопросов, с 5 вариантами ответами, лишь 1 из которых является единственно верным. </w:t>
      </w:r>
    </w:p>
    <w:p w:rsidR="00091104" w:rsidRPr="004B4437" w:rsidRDefault="00091104" w:rsidP="002B46B6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правильный ответ дается 1 балл; за неверный ответ вычитается 1 балл. В каждом вопросе присутствует ответ «не знаю», за ответ на который, участнику начисляется 0 баллов.</w:t>
      </w:r>
    </w:p>
    <w:p w:rsidR="00091104" w:rsidRPr="004B4437" w:rsidRDefault="00091104" w:rsidP="00091104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A19" w:rsidRPr="002B46B6" w:rsidRDefault="002B46B6" w:rsidP="002B46B6">
      <w:pPr>
        <w:shd w:val="clear" w:color="auto" w:fill="FEFEFE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2.2. </w:t>
      </w:r>
      <w:r w:rsidR="00091104" w:rsidRPr="002B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Соревнование «Письменный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</w:t>
      </w:r>
      <w:r w:rsidR="00091104" w:rsidRPr="002B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83BFC" w:rsidRPr="002B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очного этапа Конкурса</w:t>
      </w:r>
    </w:p>
    <w:p w:rsidR="00091104" w:rsidRDefault="00AC2B54" w:rsidP="002B46B6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Соревнование «Письменный тур»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включает в себя 2 письменных вопроса, </w:t>
      </w:r>
      <w:r w:rsidR="00091104" w:rsidRPr="004B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аковых</w:t>
      </w:r>
      <w:r w:rsidR="00091104" w:rsidRPr="004B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всех участников, посвящен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</w:t>
      </w:r>
      <w:r w:rsidR="00091104" w:rsidRPr="004B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геологии  Крыма.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 обязан ответить на все 2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вопроса. </w:t>
      </w:r>
      <w:r w:rsidR="00091104" w:rsidRPr="004B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прохождение Соревнования «Письменный </w:t>
      </w:r>
      <w:r w:rsidR="002B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</w:t>
      </w:r>
      <w:r w:rsidR="00091104" w:rsidRPr="004B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="00091104" w:rsidRPr="004B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Каждый письменный вопрос оценивается отдельно по критериям оценки.</w:t>
      </w:r>
    </w:p>
    <w:p w:rsidR="00091104" w:rsidRPr="004B4437" w:rsidRDefault="00091104" w:rsidP="002B46B6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оценки:</w:t>
      </w:r>
    </w:p>
    <w:tbl>
      <w:tblPr>
        <w:tblW w:w="4580" w:type="dxa"/>
        <w:jc w:val="center"/>
        <w:tblInd w:w="93" w:type="dxa"/>
        <w:tblLook w:val="04A0" w:firstRow="1" w:lastRow="0" w:firstColumn="1" w:lastColumn="0" w:noHBand="0" w:noVBand="1"/>
      </w:tblPr>
      <w:tblGrid>
        <w:gridCol w:w="3425"/>
        <w:gridCol w:w="1155"/>
      </w:tblGrid>
      <w:tr w:rsidR="00091104" w:rsidRPr="00FB2E90" w:rsidTr="00B97E38">
        <w:trPr>
          <w:trHeight w:val="315"/>
          <w:jc w:val="center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4B4437" w:rsidRDefault="00091104" w:rsidP="00B9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4B4437" w:rsidRDefault="00091104" w:rsidP="00B9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 баллов</w:t>
            </w:r>
          </w:p>
        </w:tc>
      </w:tr>
      <w:tr w:rsidR="00091104" w:rsidRPr="00FB2E90" w:rsidTr="00B97E38">
        <w:trPr>
          <w:trHeight w:val="315"/>
          <w:jc w:val="center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104" w:rsidRPr="00FB2E90" w:rsidRDefault="00091104" w:rsidP="00B9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материалом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104" w:rsidRPr="00FB2E90" w:rsidRDefault="00AC2B54" w:rsidP="00B9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1104"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104" w:rsidRPr="00FB2E90" w:rsidTr="00B97E38">
        <w:trPr>
          <w:trHeight w:val="315"/>
          <w:jc w:val="center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104" w:rsidRPr="00FB2E90" w:rsidRDefault="00091104" w:rsidP="00B9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ответа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104" w:rsidRPr="00FB2E90" w:rsidRDefault="00AC2B54" w:rsidP="00B9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1104"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104" w:rsidRPr="00FB2E90" w:rsidTr="00B97E38">
        <w:trPr>
          <w:trHeight w:val="315"/>
          <w:jc w:val="center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104" w:rsidRPr="00FB2E90" w:rsidRDefault="00091104" w:rsidP="00B9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Приведение примеров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104" w:rsidRPr="00FB2E90" w:rsidRDefault="00AC2B54" w:rsidP="00B9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1104"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104" w:rsidRPr="00FB2E90" w:rsidTr="00B97E38">
        <w:trPr>
          <w:trHeight w:val="315"/>
          <w:jc w:val="center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FB2E90" w:rsidRDefault="00091104" w:rsidP="00B9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FB2E90" w:rsidRDefault="00091104" w:rsidP="00B9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104" w:rsidRPr="00FB2E90" w:rsidTr="00B97E38">
        <w:trPr>
          <w:trHeight w:val="315"/>
          <w:jc w:val="center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710888" w:rsidRDefault="00091104" w:rsidP="00B9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710888" w:rsidRDefault="00AC2B54" w:rsidP="00B9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1104" w:rsidRPr="007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B54" w:rsidRDefault="00AC2B54" w:rsidP="00AC2B5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B54" w:rsidRPr="004B4437" w:rsidRDefault="00AC2B54" w:rsidP="00AC2B54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за Соревнование «Письменный тур» складывается из суммы баллов, набранных за ответы на 2 вопроса.</w:t>
      </w:r>
    </w:p>
    <w:p w:rsidR="007E6616" w:rsidRPr="00FB2E90" w:rsidRDefault="007E6616" w:rsidP="00F93A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6616" w:rsidRPr="00FB2E90" w:rsidSect="0093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86" w:rsidRDefault="00476086" w:rsidP="00B75D69">
      <w:pPr>
        <w:spacing w:after="0" w:line="240" w:lineRule="auto"/>
      </w:pPr>
      <w:r>
        <w:separator/>
      </w:r>
    </w:p>
  </w:endnote>
  <w:endnote w:type="continuationSeparator" w:id="0">
    <w:p w:rsidR="00476086" w:rsidRDefault="00476086" w:rsidP="00B7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86" w:rsidRDefault="00476086" w:rsidP="00B75D69">
      <w:pPr>
        <w:spacing w:after="0" w:line="240" w:lineRule="auto"/>
      </w:pPr>
      <w:r>
        <w:separator/>
      </w:r>
    </w:p>
  </w:footnote>
  <w:footnote w:type="continuationSeparator" w:id="0">
    <w:p w:rsidR="00476086" w:rsidRDefault="00476086" w:rsidP="00B7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AC6"/>
    <w:multiLevelType w:val="hybridMultilevel"/>
    <w:tmpl w:val="3BA6C1F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54103E8"/>
    <w:multiLevelType w:val="hybridMultilevel"/>
    <w:tmpl w:val="054EFA7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192F6637"/>
    <w:multiLevelType w:val="multilevel"/>
    <w:tmpl w:val="4630EEF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2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>
    <w:nsid w:val="247E377B"/>
    <w:multiLevelType w:val="hybridMultilevel"/>
    <w:tmpl w:val="73B201E0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2EFD57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3C75BA"/>
    <w:multiLevelType w:val="multilevel"/>
    <w:tmpl w:val="74DE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5A05300D"/>
    <w:multiLevelType w:val="multilevel"/>
    <w:tmpl w:val="74DE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BEA5939"/>
    <w:multiLevelType w:val="multilevel"/>
    <w:tmpl w:val="75A6FAA2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1800"/>
      </w:pPr>
      <w:rPr>
        <w:rFonts w:hint="default"/>
      </w:rPr>
    </w:lvl>
  </w:abstractNum>
  <w:abstractNum w:abstractNumId="8">
    <w:nsid w:val="69330F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BC398F"/>
    <w:multiLevelType w:val="hybridMultilevel"/>
    <w:tmpl w:val="6BD408CC"/>
    <w:lvl w:ilvl="0" w:tplc="B5F06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9E7"/>
    <w:rsid w:val="00036BDB"/>
    <w:rsid w:val="00037159"/>
    <w:rsid w:val="000457E2"/>
    <w:rsid w:val="000460F3"/>
    <w:rsid w:val="00065DAE"/>
    <w:rsid w:val="00073662"/>
    <w:rsid w:val="0008578F"/>
    <w:rsid w:val="00086E83"/>
    <w:rsid w:val="00091104"/>
    <w:rsid w:val="000963F7"/>
    <w:rsid w:val="00096CFE"/>
    <w:rsid w:val="00097C51"/>
    <w:rsid w:val="000B3A9F"/>
    <w:rsid w:val="000C447A"/>
    <w:rsid w:val="000E1FDE"/>
    <w:rsid w:val="000F4940"/>
    <w:rsid w:val="001304F6"/>
    <w:rsid w:val="00130661"/>
    <w:rsid w:val="0013482E"/>
    <w:rsid w:val="001A1C47"/>
    <w:rsid w:val="001B20CD"/>
    <w:rsid w:val="001F6697"/>
    <w:rsid w:val="002035E0"/>
    <w:rsid w:val="00223750"/>
    <w:rsid w:val="00230CDE"/>
    <w:rsid w:val="0026198D"/>
    <w:rsid w:val="00272F7E"/>
    <w:rsid w:val="002968EA"/>
    <w:rsid w:val="002A413D"/>
    <w:rsid w:val="002A614E"/>
    <w:rsid w:val="002B46B6"/>
    <w:rsid w:val="002C55E9"/>
    <w:rsid w:val="002E637C"/>
    <w:rsid w:val="0032493B"/>
    <w:rsid w:val="003279E7"/>
    <w:rsid w:val="003349AD"/>
    <w:rsid w:val="003604CD"/>
    <w:rsid w:val="003906CB"/>
    <w:rsid w:val="003E37E3"/>
    <w:rsid w:val="00410A1C"/>
    <w:rsid w:val="00411119"/>
    <w:rsid w:val="00421043"/>
    <w:rsid w:val="00432E29"/>
    <w:rsid w:val="0043445E"/>
    <w:rsid w:val="00452CD5"/>
    <w:rsid w:val="004674FE"/>
    <w:rsid w:val="00476086"/>
    <w:rsid w:val="00494F9E"/>
    <w:rsid w:val="0049639D"/>
    <w:rsid w:val="004B1B2B"/>
    <w:rsid w:val="004B3DF5"/>
    <w:rsid w:val="004B4437"/>
    <w:rsid w:val="004C3A5B"/>
    <w:rsid w:val="004D3595"/>
    <w:rsid w:val="00511ECC"/>
    <w:rsid w:val="005564D0"/>
    <w:rsid w:val="00562902"/>
    <w:rsid w:val="00574167"/>
    <w:rsid w:val="005A0406"/>
    <w:rsid w:val="005A1C80"/>
    <w:rsid w:val="005B37D7"/>
    <w:rsid w:val="005B661A"/>
    <w:rsid w:val="005C35D6"/>
    <w:rsid w:val="005C371B"/>
    <w:rsid w:val="005C766E"/>
    <w:rsid w:val="005D082A"/>
    <w:rsid w:val="00614533"/>
    <w:rsid w:val="00643737"/>
    <w:rsid w:val="0066678B"/>
    <w:rsid w:val="006B1A54"/>
    <w:rsid w:val="006C5572"/>
    <w:rsid w:val="006D24AE"/>
    <w:rsid w:val="006E36C2"/>
    <w:rsid w:val="00710888"/>
    <w:rsid w:val="0073521F"/>
    <w:rsid w:val="007450E2"/>
    <w:rsid w:val="0074695C"/>
    <w:rsid w:val="00754439"/>
    <w:rsid w:val="00771054"/>
    <w:rsid w:val="00781109"/>
    <w:rsid w:val="00790EAF"/>
    <w:rsid w:val="007C27FA"/>
    <w:rsid w:val="007D3CBD"/>
    <w:rsid w:val="007E3E2F"/>
    <w:rsid w:val="007E6616"/>
    <w:rsid w:val="00804A2C"/>
    <w:rsid w:val="008131A2"/>
    <w:rsid w:val="00822933"/>
    <w:rsid w:val="008334CC"/>
    <w:rsid w:val="008815F0"/>
    <w:rsid w:val="008B04D2"/>
    <w:rsid w:val="008C1747"/>
    <w:rsid w:val="008E459B"/>
    <w:rsid w:val="009056F7"/>
    <w:rsid w:val="009241A8"/>
    <w:rsid w:val="0092558A"/>
    <w:rsid w:val="00933AE1"/>
    <w:rsid w:val="00951246"/>
    <w:rsid w:val="00951448"/>
    <w:rsid w:val="00960F61"/>
    <w:rsid w:val="00982C42"/>
    <w:rsid w:val="0099361E"/>
    <w:rsid w:val="009A219C"/>
    <w:rsid w:val="00A0692A"/>
    <w:rsid w:val="00A34C42"/>
    <w:rsid w:val="00A42EE7"/>
    <w:rsid w:val="00A44615"/>
    <w:rsid w:val="00A62428"/>
    <w:rsid w:val="00A668E6"/>
    <w:rsid w:val="00AA16B0"/>
    <w:rsid w:val="00AA5AD0"/>
    <w:rsid w:val="00AB5E50"/>
    <w:rsid w:val="00AC0D55"/>
    <w:rsid w:val="00AC20D5"/>
    <w:rsid w:val="00AC2B54"/>
    <w:rsid w:val="00AE75A3"/>
    <w:rsid w:val="00AF16DA"/>
    <w:rsid w:val="00B2269A"/>
    <w:rsid w:val="00B228BE"/>
    <w:rsid w:val="00B37A84"/>
    <w:rsid w:val="00B4759B"/>
    <w:rsid w:val="00B75D69"/>
    <w:rsid w:val="00B8327C"/>
    <w:rsid w:val="00BB4BC7"/>
    <w:rsid w:val="00BB7C73"/>
    <w:rsid w:val="00BF29E7"/>
    <w:rsid w:val="00BF61CD"/>
    <w:rsid w:val="00C11FAD"/>
    <w:rsid w:val="00C15873"/>
    <w:rsid w:val="00C15B51"/>
    <w:rsid w:val="00C45A46"/>
    <w:rsid w:val="00C64E99"/>
    <w:rsid w:val="00C70BA5"/>
    <w:rsid w:val="00C74879"/>
    <w:rsid w:val="00C772CD"/>
    <w:rsid w:val="00C83BFC"/>
    <w:rsid w:val="00C92E58"/>
    <w:rsid w:val="00C96A99"/>
    <w:rsid w:val="00CB231F"/>
    <w:rsid w:val="00CC61AE"/>
    <w:rsid w:val="00CD492F"/>
    <w:rsid w:val="00CD6FC7"/>
    <w:rsid w:val="00CE1F53"/>
    <w:rsid w:val="00CF0103"/>
    <w:rsid w:val="00CF3D14"/>
    <w:rsid w:val="00D04C20"/>
    <w:rsid w:val="00D31137"/>
    <w:rsid w:val="00D47A6C"/>
    <w:rsid w:val="00D55718"/>
    <w:rsid w:val="00D6691A"/>
    <w:rsid w:val="00D95E87"/>
    <w:rsid w:val="00DA4FFA"/>
    <w:rsid w:val="00DB3D99"/>
    <w:rsid w:val="00DB5121"/>
    <w:rsid w:val="00DC2084"/>
    <w:rsid w:val="00DE541D"/>
    <w:rsid w:val="00E01DEF"/>
    <w:rsid w:val="00E10DA1"/>
    <w:rsid w:val="00E31BF9"/>
    <w:rsid w:val="00E60358"/>
    <w:rsid w:val="00E604E2"/>
    <w:rsid w:val="00E73EFA"/>
    <w:rsid w:val="00EA65E4"/>
    <w:rsid w:val="00EB5839"/>
    <w:rsid w:val="00F326E0"/>
    <w:rsid w:val="00F44592"/>
    <w:rsid w:val="00F7426E"/>
    <w:rsid w:val="00F74417"/>
    <w:rsid w:val="00F81EC8"/>
    <w:rsid w:val="00F84C4C"/>
    <w:rsid w:val="00F93A19"/>
    <w:rsid w:val="00FB2E90"/>
    <w:rsid w:val="00FC42F0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F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29E7"/>
    <w:rPr>
      <w:b/>
      <w:bCs/>
    </w:rPr>
  </w:style>
  <w:style w:type="paragraph" w:customStyle="1" w:styleId="rtejustify">
    <w:name w:val="rtejustify"/>
    <w:basedOn w:val="a"/>
    <w:rsid w:val="00BF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F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9E7"/>
  </w:style>
  <w:style w:type="character" w:styleId="a5">
    <w:name w:val="Hyperlink"/>
    <w:basedOn w:val="a0"/>
    <w:uiPriority w:val="99"/>
    <w:unhideWhenUsed/>
    <w:rsid w:val="00BF29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29E7"/>
    <w:rPr>
      <w:color w:val="800080"/>
      <w:u w:val="single"/>
    </w:rPr>
  </w:style>
  <w:style w:type="character" w:styleId="a7">
    <w:name w:val="Emphasis"/>
    <w:basedOn w:val="a0"/>
    <w:uiPriority w:val="20"/>
    <w:qFormat/>
    <w:rsid w:val="00BF29E7"/>
    <w:rPr>
      <w:i/>
      <w:iCs/>
    </w:rPr>
  </w:style>
  <w:style w:type="paragraph" w:styleId="a8">
    <w:name w:val="header"/>
    <w:basedOn w:val="a"/>
    <w:link w:val="a9"/>
    <w:uiPriority w:val="99"/>
    <w:unhideWhenUsed/>
    <w:rsid w:val="00B7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5D69"/>
  </w:style>
  <w:style w:type="paragraph" w:styleId="aa">
    <w:name w:val="footer"/>
    <w:basedOn w:val="a"/>
    <w:link w:val="ab"/>
    <w:uiPriority w:val="99"/>
    <w:unhideWhenUsed/>
    <w:rsid w:val="00B7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5D69"/>
  </w:style>
  <w:style w:type="paragraph" w:styleId="ac">
    <w:name w:val="List Paragraph"/>
    <w:basedOn w:val="a"/>
    <w:uiPriority w:val="34"/>
    <w:qFormat/>
    <w:rsid w:val="00DA4FF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A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14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C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F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29E7"/>
    <w:rPr>
      <w:b/>
      <w:bCs/>
    </w:rPr>
  </w:style>
  <w:style w:type="paragraph" w:customStyle="1" w:styleId="rtejustify">
    <w:name w:val="rtejustify"/>
    <w:basedOn w:val="a"/>
    <w:rsid w:val="00BF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F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9E7"/>
  </w:style>
  <w:style w:type="character" w:styleId="a5">
    <w:name w:val="Hyperlink"/>
    <w:basedOn w:val="a0"/>
    <w:uiPriority w:val="99"/>
    <w:semiHidden/>
    <w:unhideWhenUsed/>
    <w:rsid w:val="00BF29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29E7"/>
    <w:rPr>
      <w:color w:val="800080"/>
      <w:u w:val="single"/>
    </w:rPr>
  </w:style>
  <w:style w:type="character" w:styleId="a7">
    <w:name w:val="Emphasis"/>
    <w:basedOn w:val="a0"/>
    <w:uiPriority w:val="20"/>
    <w:qFormat/>
    <w:rsid w:val="00BF2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f.rggru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olan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land.ru/node/6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gri-rggru.ru" TargetMode="External"/><Relationship Id="rId10" Type="http://schemas.openxmlformats.org/officeDocument/2006/relationships/hyperlink" Target="http://www.geolan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land.ru/" TargetMode="External"/><Relationship Id="rId14" Type="http://schemas.openxmlformats.org/officeDocument/2006/relationships/hyperlink" Target="http://geo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27AD-A6F5-483F-BB50-809FF162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10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факультет</dc:creator>
  <cp:lastModifiedBy>Школьный факультет</cp:lastModifiedBy>
  <cp:revision>54</cp:revision>
  <cp:lastPrinted>2014-09-20T13:05:00Z</cp:lastPrinted>
  <dcterms:created xsi:type="dcterms:W3CDTF">2014-09-08T12:37:00Z</dcterms:created>
  <dcterms:modified xsi:type="dcterms:W3CDTF">2014-09-20T13:13:00Z</dcterms:modified>
</cp:coreProperties>
</file>